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7D" w:rsidRPr="00B36405" w:rsidRDefault="00EE757D">
      <w:pPr>
        <w:pStyle w:val="Heading1"/>
        <w:rPr>
          <w:sz w:val="16"/>
          <w:szCs w:val="16"/>
        </w:rPr>
      </w:pPr>
      <w:proofErr w:type="gramStart"/>
      <w:r>
        <w:t>Table 1.</w:t>
      </w:r>
      <w:proofErr w:type="gramEnd"/>
      <w:r>
        <w:t xml:space="preserve">  </w:t>
      </w:r>
      <w:r w:rsidR="00B27D85">
        <w:t>Squaw Creek Watershed</w:t>
      </w:r>
      <w:r>
        <w:t xml:space="preserve"> Snapshot Sampling Results </w:t>
      </w:r>
      <w:r w:rsidR="00856DB7">
        <w:t xml:space="preserve">– </w:t>
      </w:r>
      <w:r w:rsidR="00F239E8">
        <w:t>May 1</w:t>
      </w:r>
      <w:r w:rsidR="00B27D85">
        <w:t>7</w:t>
      </w:r>
      <w:r w:rsidR="00F239E8">
        <w:t>, 2014</w:t>
      </w:r>
      <w:r w:rsidR="00083F94">
        <w:t>.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080"/>
        <w:gridCol w:w="1260"/>
        <w:gridCol w:w="900"/>
        <w:gridCol w:w="720"/>
        <w:gridCol w:w="776"/>
        <w:gridCol w:w="664"/>
        <w:gridCol w:w="720"/>
        <w:gridCol w:w="900"/>
      </w:tblGrid>
      <w:tr w:rsidR="005C3F82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1368" w:type="dxa"/>
            <w:vMerge w:val="restart"/>
            <w:vAlign w:val="center"/>
          </w:tcPr>
          <w:p w:rsidR="005C3F82" w:rsidRDefault="005C3F82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C3F82" w:rsidRDefault="005C3F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Unit</w:t>
            </w:r>
          </w:p>
        </w:tc>
        <w:tc>
          <w:tcPr>
            <w:tcW w:w="1260" w:type="dxa"/>
            <w:vMerge w:val="restart"/>
            <w:vAlign w:val="center"/>
          </w:tcPr>
          <w:p w:rsidR="005C3F82" w:rsidRDefault="005C3F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Method</w:t>
            </w:r>
          </w:p>
        </w:tc>
        <w:tc>
          <w:tcPr>
            <w:tcW w:w="900" w:type="dxa"/>
            <w:vMerge w:val="restart"/>
            <w:vAlign w:val="center"/>
          </w:tcPr>
          <w:p w:rsidR="005C3F82" w:rsidRDefault="005C3F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# of samples</w:t>
            </w:r>
          </w:p>
        </w:tc>
        <w:tc>
          <w:tcPr>
            <w:tcW w:w="720" w:type="dxa"/>
            <w:vMerge w:val="restart"/>
            <w:vAlign w:val="center"/>
          </w:tcPr>
          <w:p w:rsidR="005C3F82" w:rsidRDefault="005C3F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Min Value</w:t>
            </w:r>
          </w:p>
        </w:tc>
        <w:tc>
          <w:tcPr>
            <w:tcW w:w="2160" w:type="dxa"/>
            <w:gridSpan w:val="3"/>
            <w:vAlign w:val="center"/>
          </w:tcPr>
          <w:p w:rsidR="005C3F82" w:rsidRDefault="005C3F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Percentiles</w:t>
            </w:r>
          </w:p>
        </w:tc>
        <w:tc>
          <w:tcPr>
            <w:tcW w:w="900" w:type="dxa"/>
            <w:vMerge w:val="restart"/>
            <w:vAlign w:val="center"/>
          </w:tcPr>
          <w:p w:rsidR="005C3F82" w:rsidRDefault="005C3F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Max Value</w:t>
            </w:r>
          </w:p>
        </w:tc>
      </w:tr>
      <w:tr w:rsidR="005C3F82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1368" w:type="dxa"/>
            <w:vMerge/>
            <w:vAlign w:val="center"/>
          </w:tcPr>
          <w:p w:rsidR="005C3F82" w:rsidRDefault="005C3F82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vAlign w:val="center"/>
          </w:tcPr>
          <w:p w:rsidR="005C3F82" w:rsidRDefault="005C3F82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Merge/>
            <w:vAlign w:val="center"/>
          </w:tcPr>
          <w:p w:rsidR="005C3F82" w:rsidRDefault="005C3F82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vMerge/>
            <w:vAlign w:val="center"/>
          </w:tcPr>
          <w:p w:rsidR="005C3F82" w:rsidRDefault="005C3F82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Merge/>
            <w:vAlign w:val="center"/>
          </w:tcPr>
          <w:p w:rsidR="005C3F82" w:rsidRDefault="005C3F82">
            <w:pPr>
              <w:jc w:val="center"/>
              <w:rPr>
                <w:sz w:val="16"/>
              </w:rPr>
            </w:pPr>
          </w:p>
        </w:tc>
        <w:tc>
          <w:tcPr>
            <w:tcW w:w="776" w:type="dxa"/>
            <w:vAlign w:val="center"/>
          </w:tcPr>
          <w:p w:rsidR="005C3F82" w:rsidRDefault="005C3F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25th</w:t>
            </w:r>
          </w:p>
        </w:tc>
        <w:tc>
          <w:tcPr>
            <w:tcW w:w="664" w:type="dxa"/>
            <w:vAlign w:val="center"/>
          </w:tcPr>
          <w:p w:rsidR="005C3F82" w:rsidRDefault="005C3F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50th</w:t>
            </w:r>
          </w:p>
        </w:tc>
        <w:tc>
          <w:tcPr>
            <w:tcW w:w="720" w:type="dxa"/>
            <w:vAlign w:val="center"/>
          </w:tcPr>
          <w:p w:rsidR="005C3F82" w:rsidRDefault="005C3F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75th</w:t>
            </w:r>
          </w:p>
        </w:tc>
        <w:tc>
          <w:tcPr>
            <w:tcW w:w="900" w:type="dxa"/>
            <w:vMerge/>
            <w:vAlign w:val="center"/>
          </w:tcPr>
          <w:p w:rsidR="005C3F82" w:rsidRDefault="005C3F82">
            <w:pPr>
              <w:jc w:val="center"/>
              <w:rPr>
                <w:sz w:val="16"/>
              </w:rPr>
            </w:pPr>
          </w:p>
        </w:tc>
      </w:tr>
      <w:tr w:rsidR="005C3F82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5C3F82" w:rsidRDefault="005C3F82" w:rsidP="00833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Water Temperature</w:t>
            </w:r>
          </w:p>
        </w:tc>
        <w:tc>
          <w:tcPr>
            <w:tcW w:w="1080" w:type="dxa"/>
            <w:vAlign w:val="center"/>
          </w:tcPr>
          <w:p w:rsidR="005C3F82" w:rsidRDefault="005C3F82" w:rsidP="00833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degrees F</w:t>
            </w:r>
          </w:p>
        </w:tc>
        <w:tc>
          <w:tcPr>
            <w:tcW w:w="1260" w:type="dxa"/>
            <w:vAlign w:val="center"/>
          </w:tcPr>
          <w:p w:rsidR="005C3F82" w:rsidRDefault="005C3F82" w:rsidP="00833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Thermometer - Field</w:t>
            </w:r>
          </w:p>
        </w:tc>
        <w:tc>
          <w:tcPr>
            <w:tcW w:w="900" w:type="dxa"/>
            <w:vAlign w:val="center"/>
          </w:tcPr>
          <w:p w:rsidR="005C3F82" w:rsidRDefault="008F1F1E" w:rsidP="001507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0" w:type="dxa"/>
            <w:vAlign w:val="center"/>
          </w:tcPr>
          <w:p w:rsidR="005C3F82" w:rsidRDefault="008F1F1E" w:rsidP="001507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76" w:type="dxa"/>
            <w:vAlign w:val="center"/>
          </w:tcPr>
          <w:p w:rsidR="005C3F82" w:rsidRDefault="008F1F1E" w:rsidP="001507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664" w:type="dxa"/>
            <w:vAlign w:val="center"/>
          </w:tcPr>
          <w:p w:rsidR="005C3F82" w:rsidRDefault="008F1F1E" w:rsidP="001507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20" w:type="dxa"/>
            <w:vAlign w:val="center"/>
          </w:tcPr>
          <w:p w:rsidR="005C3F82" w:rsidRDefault="008F1F1E" w:rsidP="001507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900" w:type="dxa"/>
            <w:vAlign w:val="center"/>
          </w:tcPr>
          <w:p w:rsidR="005C3F82" w:rsidRDefault="008F1F1E" w:rsidP="001507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</w:tr>
      <w:tr w:rsidR="005C3F8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68" w:type="dxa"/>
            <w:vAlign w:val="center"/>
          </w:tcPr>
          <w:p w:rsidR="005C3F82" w:rsidRDefault="005C3F82" w:rsidP="00833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080" w:type="dxa"/>
            <w:vAlign w:val="center"/>
          </w:tcPr>
          <w:p w:rsidR="005C3F82" w:rsidRDefault="005C3F82" w:rsidP="00833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pH units</w:t>
            </w:r>
          </w:p>
        </w:tc>
        <w:tc>
          <w:tcPr>
            <w:tcW w:w="1260" w:type="dxa"/>
            <w:vAlign w:val="center"/>
          </w:tcPr>
          <w:p w:rsidR="005C3F82" w:rsidRDefault="005C3F82" w:rsidP="00833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IOWATER test strip</w:t>
            </w:r>
          </w:p>
        </w:tc>
        <w:tc>
          <w:tcPr>
            <w:tcW w:w="900" w:type="dxa"/>
            <w:vAlign w:val="center"/>
          </w:tcPr>
          <w:p w:rsidR="005C3F82" w:rsidRDefault="008F1F1E" w:rsidP="001507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0" w:type="dxa"/>
            <w:vAlign w:val="center"/>
          </w:tcPr>
          <w:p w:rsidR="005C3F82" w:rsidRDefault="008F1F1E" w:rsidP="001507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76" w:type="dxa"/>
            <w:vAlign w:val="center"/>
          </w:tcPr>
          <w:p w:rsidR="005C3F82" w:rsidRDefault="008F1F1E" w:rsidP="001507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64" w:type="dxa"/>
            <w:vAlign w:val="center"/>
          </w:tcPr>
          <w:p w:rsidR="005C3F82" w:rsidRDefault="008F1F1E" w:rsidP="001507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20" w:type="dxa"/>
            <w:vAlign w:val="center"/>
          </w:tcPr>
          <w:p w:rsidR="005C3F82" w:rsidRDefault="008F1F1E" w:rsidP="001507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00" w:type="dxa"/>
            <w:vAlign w:val="center"/>
          </w:tcPr>
          <w:p w:rsidR="005C3F82" w:rsidRDefault="008F1F1E" w:rsidP="001507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5C3F82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5C3F82" w:rsidRDefault="005C3F82" w:rsidP="00833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Dissolved Oxygen</w:t>
            </w:r>
          </w:p>
        </w:tc>
        <w:tc>
          <w:tcPr>
            <w:tcW w:w="1080" w:type="dxa"/>
            <w:vAlign w:val="center"/>
          </w:tcPr>
          <w:p w:rsidR="005C3F82" w:rsidRDefault="005C3F82" w:rsidP="00833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mg/L</w:t>
            </w:r>
          </w:p>
        </w:tc>
        <w:tc>
          <w:tcPr>
            <w:tcW w:w="1260" w:type="dxa"/>
            <w:vAlign w:val="center"/>
          </w:tcPr>
          <w:p w:rsidR="005C3F82" w:rsidRDefault="005C3F82" w:rsidP="00833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IOWATER test strip</w:t>
            </w:r>
          </w:p>
        </w:tc>
        <w:tc>
          <w:tcPr>
            <w:tcW w:w="900" w:type="dxa"/>
            <w:vAlign w:val="center"/>
          </w:tcPr>
          <w:p w:rsidR="005C3F82" w:rsidRDefault="008F1F1E" w:rsidP="001507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0" w:type="dxa"/>
            <w:vAlign w:val="center"/>
          </w:tcPr>
          <w:p w:rsidR="005C3F82" w:rsidRDefault="008F1F1E" w:rsidP="001507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76" w:type="dxa"/>
            <w:vAlign w:val="center"/>
          </w:tcPr>
          <w:p w:rsidR="005C3F82" w:rsidRDefault="008F1F1E" w:rsidP="001507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64" w:type="dxa"/>
            <w:vAlign w:val="center"/>
          </w:tcPr>
          <w:p w:rsidR="005C3F82" w:rsidRDefault="008F1F1E" w:rsidP="001507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20" w:type="dxa"/>
            <w:vAlign w:val="center"/>
          </w:tcPr>
          <w:p w:rsidR="005C3F82" w:rsidRDefault="008F1F1E" w:rsidP="001507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00" w:type="dxa"/>
            <w:vAlign w:val="center"/>
          </w:tcPr>
          <w:p w:rsidR="005C3F82" w:rsidRDefault="008F1F1E" w:rsidP="001507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5C3F8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368" w:type="dxa"/>
            <w:vAlign w:val="center"/>
          </w:tcPr>
          <w:p w:rsidR="005C3F82" w:rsidRDefault="005C3F82" w:rsidP="00833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Nitrite-N</w:t>
            </w:r>
          </w:p>
        </w:tc>
        <w:tc>
          <w:tcPr>
            <w:tcW w:w="1080" w:type="dxa"/>
            <w:vAlign w:val="center"/>
          </w:tcPr>
          <w:p w:rsidR="005C3F82" w:rsidRDefault="005C3F82" w:rsidP="00833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mg/L</w:t>
            </w:r>
          </w:p>
        </w:tc>
        <w:tc>
          <w:tcPr>
            <w:tcW w:w="1260" w:type="dxa"/>
            <w:vAlign w:val="center"/>
          </w:tcPr>
          <w:p w:rsidR="005C3F82" w:rsidRDefault="005C3F82" w:rsidP="00833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IOWATER test strip</w:t>
            </w:r>
          </w:p>
        </w:tc>
        <w:tc>
          <w:tcPr>
            <w:tcW w:w="900" w:type="dxa"/>
            <w:vAlign w:val="center"/>
          </w:tcPr>
          <w:p w:rsidR="005C3F82" w:rsidRPr="00F4017B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vAlign w:val="center"/>
          </w:tcPr>
          <w:p w:rsidR="005C3F82" w:rsidRPr="00F4017B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6" w:type="dxa"/>
            <w:vAlign w:val="center"/>
          </w:tcPr>
          <w:p w:rsidR="005C3F82" w:rsidRPr="00F4017B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4" w:type="dxa"/>
            <w:vAlign w:val="center"/>
          </w:tcPr>
          <w:p w:rsidR="005C3F82" w:rsidRPr="00F4017B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</w:tcPr>
          <w:p w:rsidR="005C3F82" w:rsidRPr="00F4017B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vAlign w:val="center"/>
          </w:tcPr>
          <w:p w:rsidR="005C3F82" w:rsidRPr="00F4017B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</w:tr>
      <w:tr w:rsidR="005C3F82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5C3F82" w:rsidRDefault="005C3F82" w:rsidP="00833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Nitrate-N</w:t>
            </w:r>
          </w:p>
        </w:tc>
        <w:tc>
          <w:tcPr>
            <w:tcW w:w="1080" w:type="dxa"/>
            <w:vAlign w:val="center"/>
          </w:tcPr>
          <w:p w:rsidR="005C3F82" w:rsidRDefault="005C3F82" w:rsidP="00833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mg/L</w:t>
            </w:r>
          </w:p>
        </w:tc>
        <w:tc>
          <w:tcPr>
            <w:tcW w:w="1260" w:type="dxa"/>
            <w:vAlign w:val="center"/>
          </w:tcPr>
          <w:p w:rsidR="005C3F82" w:rsidRDefault="005C3F82" w:rsidP="00833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IOWATER test strip</w:t>
            </w:r>
          </w:p>
        </w:tc>
        <w:tc>
          <w:tcPr>
            <w:tcW w:w="900" w:type="dxa"/>
            <w:vAlign w:val="center"/>
          </w:tcPr>
          <w:p w:rsidR="005C3F82" w:rsidRPr="00F4017B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vAlign w:val="center"/>
          </w:tcPr>
          <w:p w:rsidR="005C3F82" w:rsidRDefault="008F1F1E" w:rsidP="001507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76" w:type="dxa"/>
            <w:vAlign w:val="center"/>
          </w:tcPr>
          <w:p w:rsidR="005C3F82" w:rsidRDefault="008F1F1E" w:rsidP="001507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64" w:type="dxa"/>
            <w:vAlign w:val="center"/>
          </w:tcPr>
          <w:p w:rsidR="005C3F82" w:rsidRDefault="008F1F1E" w:rsidP="001507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20" w:type="dxa"/>
            <w:vAlign w:val="center"/>
          </w:tcPr>
          <w:p w:rsidR="005C3F82" w:rsidRDefault="008F1F1E" w:rsidP="001507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00" w:type="dxa"/>
            <w:vAlign w:val="center"/>
          </w:tcPr>
          <w:p w:rsidR="005C3F82" w:rsidRDefault="008F1F1E" w:rsidP="001507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212A7A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212A7A" w:rsidRDefault="00212A7A" w:rsidP="008339C1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Orthophosphorus</w:t>
            </w:r>
            <w:proofErr w:type="spellEnd"/>
          </w:p>
        </w:tc>
        <w:tc>
          <w:tcPr>
            <w:tcW w:w="1080" w:type="dxa"/>
            <w:vAlign w:val="center"/>
          </w:tcPr>
          <w:p w:rsidR="00212A7A" w:rsidRDefault="00212A7A" w:rsidP="00833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mg/L</w:t>
            </w:r>
          </w:p>
        </w:tc>
        <w:tc>
          <w:tcPr>
            <w:tcW w:w="1260" w:type="dxa"/>
            <w:vAlign w:val="center"/>
          </w:tcPr>
          <w:p w:rsidR="00212A7A" w:rsidRDefault="00212A7A" w:rsidP="00833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IOWATER Field Kit</w:t>
            </w:r>
          </w:p>
        </w:tc>
        <w:tc>
          <w:tcPr>
            <w:tcW w:w="900" w:type="dxa"/>
            <w:vAlign w:val="center"/>
          </w:tcPr>
          <w:p w:rsidR="00212A7A" w:rsidRPr="00F4017B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vAlign w:val="center"/>
          </w:tcPr>
          <w:p w:rsidR="00212A7A" w:rsidRPr="00F4017B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6" w:type="dxa"/>
            <w:vAlign w:val="center"/>
          </w:tcPr>
          <w:p w:rsidR="00212A7A" w:rsidRDefault="008F1F1E" w:rsidP="006064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64" w:type="dxa"/>
            <w:vAlign w:val="center"/>
          </w:tcPr>
          <w:p w:rsidR="00212A7A" w:rsidRDefault="008F1F1E" w:rsidP="006064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  <w:tc>
          <w:tcPr>
            <w:tcW w:w="720" w:type="dxa"/>
            <w:vAlign w:val="center"/>
          </w:tcPr>
          <w:p w:rsidR="00212A7A" w:rsidRDefault="008F1F1E" w:rsidP="00E441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900" w:type="dxa"/>
            <w:vAlign w:val="center"/>
          </w:tcPr>
          <w:p w:rsidR="00212A7A" w:rsidRDefault="008F1F1E" w:rsidP="006064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212A7A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212A7A" w:rsidRDefault="00212A7A" w:rsidP="00833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Chloride</w:t>
            </w:r>
          </w:p>
        </w:tc>
        <w:tc>
          <w:tcPr>
            <w:tcW w:w="1080" w:type="dxa"/>
            <w:vAlign w:val="center"/>
          </w:tcPr>
          <w:p w:rsidR="00212A7A" w:rsidRDefault="00212A7A" w:rsidP="00833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mg/L</w:t>
            </w:r>
          </w:p>
        </w:tc>
        <w:tc>
          <w:tcPr>
            <w:tcW w:w="1260" w:type="dxa"/>
            <w:vAlign w:val="center"/>
          </w:tcPr>
          <w:p w:rsidR="00212A7A" w:rsidRDefault="00212A7A" w:rsidP="00833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IOWATER test strip </w:t>
            </w:r>
          </w:p>
        </w:tc>
        <w:tc>
          <w:tcPr>
            <w:tcW w:w="900" w:type="dxa"/>
            <w:vAlign w:val="center"/>
          </w:tcPr>
          <w:p w:rsidR="00212A7A" w:rsidRPr="00F4017B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vAlign w:val="center"/>
          </w:tcPr>
          <w:p w:rsidR="00212A7A" w:rsidRPr="00F4017B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76" w:type="dxa"/>
            <w:vAlign w:val="center"/>
          </w:tcPr>
          <w:p w:rsidR="00212A7A" w:rsidRPr="00F4017B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64" w:type="dxa"/>
            <w:vAlign w:val="center"/>
          </w:tcPr>
          <w:p w:rsidR="00212A7A" w:rsidRPr="00F4017B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  <w:vAlign w:val="center"/>
          </w:tcPr>
          <w:p w:rsidR="00212A7A" w:rsidRPr="00F4017B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900" w:type="dxa"/>
            <w:vAlign w:val="center"/>
          </w:tcPr>
          <w:p w:rsidR="00212A7A" w:rsidRPr="00F4017B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</w:tr>
      <w:tr w:rsidR="00212A7A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212A7A" w:rsidRDefault="00212A7A" w:rsidP="00833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Transparency</w:t>
            </w:r>
          </w:p>
        </w:tc>
        <w:tc>
          <w:tcPr>
            <w:tcW w:w="1080" w:type="dxa"/>
            <w:vAlign w:val="center"/>
          </w:tcPr>
          <w:p w:rsidR="00212A7A" w:rsidRDefault="00212A7A" w:rsidP="00833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centimeters</w:t>
            </w:r>
          </w:p>
        </w:tc>
        <w:tc>
          <w:tcPr>
            <w:tcW w:w="1260" w:type="dxa"/>
            <w:vAlign w:val="center"/>
          </w:tcPr>
          <w:p w:rsidR="00212A7A" w:rsidRDefault="00212A7A" w:rsidP="00833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IOWATER transparency tube</w:t>
            </w:r>
          </w:p>
        </w:tc>
        <w:tc>
          <w:tcPr>
            <w:tcW w:w="900" w:type="dxa"/>
            <w:vAlign w:val="center"/>
          </w:tcPr>
          <w:p w:rsidR="00212A7A" w:rsidRPr="00F4017B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vAlign w:val="center"/>
          </w:tcPr>
          <w:p w:rsidR="00212A7A" w:rsidRPr="00F4017B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6" w:type="dxa"/>
            <w:vAlign w:val="center"/>
          </w:tcPr>
          <w:p w:rsidR="00212A7A" w:rsidRPr="00F4017B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64" w:type="dxa"/>
            <w:vAlign w:val="center"/>
          </w:tcPr>
          <w:p w:rsidR="00212A7A" w:rsidRPr="00F4017B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0" w:type="dxa"/>
            <w:vAlign w:val="center"/>
          </w:tcPr>
          <w:p w:rsidR="00212A7A" w:rsidRPr="00F4017B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00" w:type="dxa"/>
            <w:vAlign w:val="center"/>
          </w:tcPr>
          <w:p w:rsidR="00212A7A" w:rsidRPr="00F4017B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212A7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368" w:type="dxa"/>
            <w:vAlign w:val="center"/>
          </w:tcPr>
          <w:p w:rsidR="00212A7A" w:rsidRDefault="00212A7A" w:rsidP="008339C1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E. coli </w:t>
            </w:r>
            <w:r>
              <w:rPr>
                <w:sz w:val="16"/>
              </w:rPr>
              <w:t>Bacteria</w:t>
            </w:r>
          </w:p>
        </w:tc>
        <w:tc>
          <w:tcPr>
            <w:tcW w:w="1080" w:type="dxa"/>
            <w:vAlign w:val="center"/>
          </w:tcPr>
          <w:p w:rsidR="00212A7A" w:rsidRDefault="00212A7A" w:rsidP="00833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MPN/100 ml</w:t>
            </w:r>
          </w:p>
        </w:tc>
        <w:tc>
          <w:tcPr>
            <w:tcW w:w="1260" w:type="dxa"/>
            <w:vAlign w:val="center"/>
          </w:tcPr>
          <w:p w:rsidR="00212A7A" w:rsidRDefault="008F1F1E" w:rsidP="00833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IOWATER method</w:t>
            </w:r>
          </w:p>
        </w:tc>
        <w:tc>
          <w:tcPr>
            <w:tcW w:w="900" w:type="dxa"/>
            <w:vAlign w:val="center"/>
          </w:tcPr>
          <w:p w:rsidR="00212A7A" w:rsidRPr="009C6306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  <w:vAlign w:val="center"/>
          </w:tcPr>
          <w:p w:rsidR="00212A7A" w:rsidRPr="009C6306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6" w:type="dxa"/>
            <w:vAlign w:val="center"/>
          </w:tcPr>
          <w:p w:rsidR="00212A7A" w:rsidRPr="009C6306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64" w:type="dxa"/>
            <w:vAlign w:val="center"/>
          </w:tcPr>
          <w:p w:rsidR="00212A7A" w:rsidRPr="009C6306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720" w:type="dxa"/>
            <w:vAlign w:val="center"/>
          </w:tcPr>
          <w:p w:rsidR="00212A7A" w:rsidRPr="009C6306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vAlign w:val="center"/>
          </w:tcPr>
          <w:p w:rsidR="00212A7A" w:rsidRPr="009C6306" w:rsidRDefault="008F1F1E" w:rsidP="00150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7,133</w:t>
            </w:r>
          </w:p>
        </w:tc>
      </w:tr>
    </w:tbl>
    <w:p w:rsidR="00EE757D" w:rsidRDefault="00EE757D" w:rsidP="00EE757D">
      <w:pPr>
        <w:rPr>
          <w:sz w:val="16"/>
        </w:rPr>
      </w:pPr>
      <w:proofErr w:type="gramStart"/>
      <w:r>
        <w:rPr>
          <w:sz w:val="16"/>
        </w:rPr>
        <w:t>mg/L</w:t>
      </w:r>
      <w:proofErr w:type="gramEnd"/>
      <w:r>
        <w:rPr>
          <w:sz w:val="16"/>
        </w:rPr>
        <w:t xml:space="preserve"> = milligrams per liter (or parts per million - </w:t>
      </w:r>
      <w:proofErr w:type="spellStart"/>
      <w:r>
        <w:rPr>
          <w:sz w:val="16"/>
        </w:rPr>
        <w:t>ppm</w:t>
      </w:r>
      <w:proofErr w:type="spellEnd"/>
      <w:r>
        <w:rPr>
          <w:sz w:val="16"/>
        </w:rPr>
        <w:t>); µg/L = micrograms per liter (or parts per billion)</w:t>
      </w:r>
    </w:p>
    <w:p w:rsidR="00EE757D" w:rsidRDefault="0088392E">
      <w:pPr>
        <w:rPr>
          <w:sz w:val="16"/>
        </w:rPr>
      </w:pPr>
      <w:r>
        <w:rPr>
          <w:sz w:val="16"/>
        </w:rPr>
        <w:t>MPN</w:t>
      </w:r>
      <w:r w:rsidR="000541FE">
        <w:rPr>
          <w:sz w:val="16"/>
        </w:rPr>
        <w:t>/100 ml</w:t>
      </w:r>
      <w:r>
        <w:rPr>
          <w:sz w:val="16"/>
        </w:rPr>
        <w:t xml:space="preserve"> = Most Probable Number</w:t>
      </w:r>
      <w:r w:rsidR="00F02F98">
        <w:rPr>
          <w:sz w:val="16"/>
        </w:rPr>
        <w:t xml:space="preserve"> per 100 milliliters of water</w:t>
      </w:r>
    </w:p>
    <w:p w:rsidR="0065759D" w:rsidRDefault="0065759D" w:rsidP="00856DB7">
      <w:pPr>
        <w:pStyle w:val="Heading1"/>
        <w:rPr>
          <w:sz w:val="16"/>
        </w:rPr>
      </w:pPr>
    </w:p>
    <w:p w:rsidR="00FE2FF3" w:rsidRDefault="00FE2FF3" w:rsidP="00FE2FF3">
      <w:pPr>
        <w:rPr>
          <w:sz w:val="16"/>
        </w:rPr>
      </w:pPr>
      <w:r>
        <w:rPr>
          <w:sz w:val="16"/>
        </w:rPr>
        <w:t xml:space="preserve">During </w:t>
      </w:r>
      <w:r w:rsidR="00F239E8">
        <w:rPr>
          <w:sz w:val="16"/>
        </w:rPr>
        <w:t>May</w:t>
      </w:r>
      <w:r w:rsidR="00264540">
        <w:rPr>
          <w:sz w:val="16"/>
        </w:rPr>
        <w:t xml:space="preserve"> </w:t>
      </w:r>
      <w:r w:rsidR="00083F94">
        <w:rPr>
          <w:sz w:val="16"/>
        </w:rPr>
        <w:t>201</w:t>
      </w:r>
      <w:r w:rsidR="00F239E8">
        <w:rPr>
          <w:sz w:val="16"/>
        </w:rPr>
        <w:t>4</w:t>
      </w:r>
      <w:r>
        <w:rPr>
          <w:sz w:val="16"/>
        </w:rPr>
        <w:t xml:space="preserve">, a total of </w:t>
      </w:r>
      <w:r w:rsidR="00F60786">
        <w:rPr>
          <w:sz w:val="16"/>
        </w:rPr>
        <w:t>76</w:t>
      </w:r>
      <w:r>
        <w:rPr>
          <w:sz w:val="16"/>
        </w:rPr>
        <w:t xml:space="preserve"> streams were sampled statewide as part of the Iowa Department of Natural Resources monthly stream monitoring program.  Results from this statewide sampling provide perspective for </w:t>
      </w:r>
      <w:r w:rsidR="00022511">
        <w:rPr>
          <w:sz w:val="16"/>
        </w:rPr>
        <w:t>any</w:t>
      </w:r>
      <w:r>
        <w:rPr>
          <w:sz w:val="16"/>
        </w:rPr>
        <w:t xml:space="preserve"> snapshot</w:t>
      </w:r>
      <w:r w:rsidR="00022511">
        <w:rPr>
          <w:sz w:val="16"/>
        </w:rPr>
        <w:t xml:space="preserve"> events conducted in </w:t>
      </w:r>
      <w:r w:rsidR="00F239E8">
        <w:rPr>
          <w:sz w:val="16"/>
        </w:rPr>
        <w:t>May</w:t>
      </w:r>
      <w:r>
        <w:rPr>
          <w:sz w:val="16"/>
        </w:rPr>
        <w:t xml:space="preserve">.  Median levels from the </w:t>
      </w:r>
      <w:r w:rsidR="00F239E8">
        <w:rPr>
          <w:sz w:val="16"/>
        </w:rPr>
        <w:t>May 2014</w:t>
      </w:r>
      <w:r>
        <w:rPr>
          <w:sz w:val="16"/>
        </w:rPr>
        <w:t xml:space="preserve"> statewide sampling were as follows:  water temperature –</w:t>
      </w:r>
      <w:r w:rsidR="00771FAF">
        <w:rPr>
          <w:sz w:val="16"/>
        </w:rPr>
        <w:t xml:space="preserve"> </w:t>
      </w:r>
      <w:r w:rsidR="00BB04D3">
        <w:rPr>
          <w:sz w:val="16"/>
        </w:rPr>
        <w:t>54</w:t>
      </w:r>
      <w:r>
        <w:rPr>
          <w:sz w:val="16"/>
        </w:rPr>
        <w:t xml:space="preserve"> degrees F; pH –</w:t>
      </w:r>
      <w:r w:rsidR="00264540">
        <w:rPr>
          <w:sz w:val="16"/>
        </w:rPr>
        <w:t xml:space="preserve"> </w:t>
      </w:r>
      <w:r w:rsidR="00BB04D3">
        <w:rPr>
          <w:sz w:val="16"/>
        </w:rPr>
        <w:t>8.1</w:t>
      </w:r>
      <w:r>
        <w:rPr>
          <w:sz w:val="16"/>
        </w:rPr>
        <w:t xml:space="preserve">; dissolved oxygen – </w:t>
      </w:r>
      <w:r w:rsidR="00BB04D3">
        <w:rPr>
          <w:sz w:val="16"/>
        </w:rPr>
        <w:t>10.4</w:t>
      </w:r>
      <w:r>
        <w:rPr>
          <w:sz w:val="16"/>
        </w:rPr>
        <w:t xml:space="preserve"> mg/L; chloride – </w:t>
      </w:r>
      <w:r w:rsidR="00BB04D3">
        <w:rPr>
          <w:sz w:val="16"/>
        </w:rPr>
        <w:t>22</w:t>
      </w:r>
      <w:r>
        <w:rPr>
          <w:sz w:val="16"/>
        </w:rPr>
        <w:t xml:space="preserve"> mg/L; </w:t>
      </w:r>
      <w:proofErr w:type="spellStart"/>
      <w:r>
        <w:rPr>
          <w:sz w:val="16"/>
        </w:rPr>
        <w:t>nitrate+nitrite</w:t>
      </w:r>
      <w:proofErr w:type="spellEnd"/>
      <w:r>
        <w:rPr>
          <w:sz w:val="16"/>
        </w:rPr>
        <w:t xml:space="preserve">-N – </w:t>
      </w:r>
      <w:r w:rsidR="00BB04D3">
        <w:rPr>
          <w:sz w:val="16"/>
        </w:rPr>
        <w:t>8.</w:t>
      </w:r>
      <w:r w:rsidR="00771FAF">
        <w:rPr>
          <w:sz w:val="16"/>
        </w:rPr>
        <w:t>1</w:t>
      </w:r>
      <w:r w:rsidR="00F239E8">
        <w:rPr>
          <w:sz w:val="16"/>
        </w:rPr>
        <w:t xml:space="preserve"> </w:t>
      </w:r>
      <w:r>
        <w:rPr>
          <w:sz w:val="16"/>
        </w:rPr>
        <w:t>mg/L; total phosphate –</w:t>
      </w:r>
      <w:r w:rsidR="00264540">
        <w:rPr>
          <w:sz w:val="16"/>
        </w:rPr>
        <w:t xml:space="preserve"> </w:t>
      </w:r>
      <w:r w:rsidR="00BB04D3">
        <w:rPr>
          <w:sz w:val="16"/>
        </w:rPr>
        <w:t>0.2</w:t>
      </w:r>
      <w:r w:rsidR="00771FAF">
        <w:rPr>
          <w:sz w:val="16"/>
        </w:rPr>
        <w:t>3</w:t>
      </w:r>
      <w:r w:rsidR="00F239E8">
        <w:rPr>
          <w:sz w:val="16"/>
        </w:rPr>
        <w:t xml:space="preserve"> </w:t>
      </w:r>
      <w:r>
        <w:rPr>
          <w:sz w:val="16"/>
        </w:rPr>
        <w:t xml:space="preserve">mg/L; </w:t>
      </w:r>
      <w:r w:rsidRPr="00FD0AA7">
        <w:rPr>
          <w:i/>
          <w:sz w:val="16"/>
        </w:rPr>
        <w:t>E. coli</w:t>
      </w:r>
      <w:r>
        <w:rPr>
          <w:sz w:val="16"/>
        </w:rPr>
        <w:t xml:space="preserve"> bacteria – </w:t>
      </w:r>
      <w:r w:rsidR="00BB04D3">
        <w:rPr>
          <w:sz w:val="16"/>
        </w:rPr>
        <w:t>80</w:t>
      </w:r>
      <w:r>
        <w:rPr>
          <w:sz w:val="16"/>
        </w:rPr>
        <w:t xml:space="preserve"> MNP/100 ml.</w:t>
      </w:r>
    </w:p>
    <w:p w:rsidR="00EE757D" w:rsidRDefault="00EE757D"/>
    <w:p w:rsidR="0016505F" w:rsidRDefault="0016505F"/>
    <w:p w:rsidR="0016505F" w:rsidRDefault="0016505F"/>
    <w:sectPr w:rsidR="0016505F" w:rsidSect="000F036B">
      <w:footerReference w:type="default" r:id="rId6"/>
      <w:pgSz w:w="12240" w:h="15840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528" w:rsidRDefault="00355528">
      <w:r>
        <w:separator/>
      </w:r>
    </w:p>
  </w:endnote>
  <w:endnote w:type="continuationSeparator" w:id="0">
    <w:p w:rsidR="00355528" w:rsidRDefault="00355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D56" w:rsidRPr="00856DB7" w:rsidRDefault="00C21D56" w:rsidP="00856DB7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528" w:rsidRDefault="00355528">
      <w:r>
        <w:separator/>
      </w:r>
    </w:p>
  </w:footnote>
  <w:footnote w:type="continuationSeparator" w:id="0">
    <w:p w:rsidR="00355528" w:rsidRDefault="003555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046"/>
    <w:rsid w:val="00022511"/>
    <w:rsid w:val="000321EF"/>
    <w:rsid w:val="000541FE"/>
    <w:rsid w:val="00083F94"/>
    <w:rsid w:val="00086EF3"/>
    <w:rsid w:val="000F036B"/>
    <w:rsid w:val="001129C2"/>
    <w:rsid w:val="00140A28"/>
    <w:rsid w:val="00150763"/>
    <w:rsid w:val="0016505F"/>
    <w:rsid w:val="0018490C"/>
    <w:rsid w:val="001948D7"/>
    <w:rsid w:val="001E0394"/>
    <w:rsid w:val="00212A7A"/>
    <w:rsid w:val="00221768"/>
    <w:rsid w:val="00236298"/>
    <w:rsid w:val="00264540"/>
    <w:rsid w:val="002646F0"/>
    <w:rsid w:val="00272046"/>
    <w:rsid w:val="002800FE"/>
    <w:rsid w:val="00291EC9"/>
    <w:rsid w:val="002968D2"/>
    <w:rsid w:val="002B3679"/>
    <w:rsid w:val="002D4B13"/>
    <w:rsid w:val="002D4DC6"/>
    <w:rsid w:val="002E502E"/>
    <w:rsid w:val="00323DED"/>
    <w:rsid w:val="00353662"/>
    <w:rsid w:val="00355528"/>
    <w:rsid w:val="003607B6"/>
    <w:rsid w:val="003638DE"/>
    <w:rsid w:val="00364FF7"/>
    <w:rsid w:val="00366081"/>
    <w:rsid w:val="00373F68"/>
    <w:rsid w:val="003948D9"/>
    <w:rsid w:val="003A6390"/>
    <w:rsid w:val="003F24F7"/>
    <w:rsid w:val="0042329A"/>
    <w:rsid w:val="00451467"/>
    <w:rsid w:val="00457B0D"/>
    <w:rsid w:val="00460490"/>
    <w:rsid w:val="00472999"/>
    <w:rsid w:val="00475863"/>
    <w:rsid w:val="00492C16"/>
    <w:rsid w:val="00493B6D"/>
    <w:rsid w:val="004E3F18"/>
    <w:rsid w:val="004E6D83"/>
    <w:rsid w:val="004F4F45"/>
    <w:rsid w:val="004F7C9C"/>
    <w:rsid w:val="00507119"/>
    <w:rsid w:val="00534824"/>
    <w:rsid w:val="00545129"/>
    <w:rsid w:val="005526E5"/>
    <w:rsid w:val="00552AD3"/>
    <w:rsid w:val="00553CA3"/>
    <w:rsid w:val="00556710"/>
    <w:rsid w:val="00576D77"/>
    <w:rsid w:val="005C3F82"/>
    <w:rsid w:val="005C7C18"/>
    <w:rsid w:val="005D2DE0"/>
    <w:rsid w:val="005E2FBE"/>
    <w:rsid w:val="00606471"/>
    <w:rsid w:val="00613B09"/>
    <w:rsid w:val="00630817"/>
    <w:rsid w:val="00631C58"/>
    <w:rsid w:val="006479B4"/>
    <w:rsid w:val="0065759D"/>
    <w:rsid w:val="006B20C7"/>
    <w:rsid w:val="006B4713"/>
    <w:rsid w:val="006F0953"/>
    <w:rsid w:val="00711660"/>
    <w:rsid w:val="00755758"/>
    <w:rsid w:val="00770C23"/>
    <w:rsid w:val="00771FAF"/>
    <w:rsid w:val="0078261A"/>
    <w:rsid w:val="007932C0"/>
    <w:rsid w:val="007B513B"/>
    <w:rsid w:val="007C0A2A"/>
    <w:rsid w:val="007D18DB"/>
    <w:rsid w:val="007D4DDB"/>
    <w:rsid w:val="00803D89"/>
    <w:rsid w:val="0081082E"/>
    <w:rsid w:val="008339C1"/>
    <w:rsid w:val="00856DB7"/>
    <w:rsid w:val="00870563"/>
    <w:rsid w:val="0088392E"/>
    <w:rsid w:val="008B1F4F"/>
    <w:rsid w:val="008C23C7"/>
    <w:rsid w:val="008C55A2"/>
    <w:rsid w:val="008F1F1E"/>
    <w:rsid w:val="008F57C5"/>
    <w:rsid w:val="00910CD3"/>
    <w:rsid w:val="00924C51"/>
    <w:rsid w:val="009274A5"/>
    <w:rsid w:val="00964042"/>
    <w:rsid w:val="0096748A"/>
    <w:rsid w:val="009B5850"/>
    <w:rsid w:val="009C5C2B"/>
    <w:rsid w:val="009C6306"/>
    <w:rsid w:val="009D6CA5"/>
    <w:rsid w:val="009E5CDC"/>
    <w:rsid w:val="00A00D9D"/>
    <w:rsid w:val="00A07B0B"/>
    <w:rsid w:val="00A47168"/>
    <w:rsid w:val="00A51572"/>
    <w:rsid w:val="00A63FCD"/>
    <w:rsid w:val="00A77889"/>
    <w:rsid w:val="00AA6333"/>
    <w:rsid w:val="00AC3BF1"/>
    <w:rsid w:val="00AD273E"/>
    <w:rsid w:val="00AD57C4"/>
    <w:rsid w:val="00B27D85"/>
    <w:rsid w:val="00B36405"/>
    <w:rsid w:val="00B468D3"/>
    <w:rsid w:val="00B52426"/>
    <w:rsid w:val="00B56023"/>
    <w:rsid w:val="00B9360D"/>
    <w:rsid w:val="00BA3D21"/>
    <w:rsid w:val="00BA5EAF"/>
    <w:rsid w:val="00BB04D3"/>
    <w:rsid w:val="00BC6919"/>
    <w:rsid w:val="00C10FE3"/>
    <w:rsid w:val="00C21D56"/>
    <w:rsid w:val="00C22FA9"/>
    <w:rsid w:val="00C30A5F"/>
    <w:rsid w:val="00C43EF0"/>
    <w:rsid w:val="00C60395"/>
    <w:rsid w:val="00C62845"/>
    <w:rsid w:val="00C72038"/>
    <w:rsid w:val="00CC7681"/>
    <w:rsid w:val="00CD3487"/>
    <w:rsid w:val="00CD4C35"/>
    <w:rsid w:val="00CF6AFD"/>
    <w:rsid w:val="00D323D0"/>
    <w:rsid w:val="00D4022F"/>
    <w:rsid w:val="00D87440"/>
    <w:rsid w:val="00DA7FCE"/>
    <w:rsid w:val="00DC0030"/>
    <w:rsid w:val="00DC154B"/>
    <w:rsid w:val="00DD1C9A"/>
    <w:rsid w:val="00E26F8E"/>
    <w:rsid w:val="00E44108"/>
    <w:rsid w:val="00E72656"/>
    <w:rsid w:val="00E82340"/>
    <w:rsid w:val="00EE3A08"/>
    <w:rsid w:val="00EE4098"/>
    <w:rsid w:val="00EE757D"/>
    <w:rsid w:val="00EF089B"/>
    <w:rsid w:val="00F02F98"/>
    <w:rsid w:val="00F0604B"/>
    <w:rsid w:val="00F213AF"/>
    <w:rsid w:val="00F239E8"/>
    <w:rsid w:val="00F4017B"/>
    <w:rsid w:val="00F60786"/>
    <w:rsid w:val="00F94C97"/>
    <w:rsid w:val="00FA0EB5"/>
    <w:rsid w:val="00FB7BD4"/>
    <w:rsid w:val="00FC13EA"/>
    <w:rsid w:val="00FD15C5"/>
    <w:rsid w:val="00FE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59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A7F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7FCE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3</vt:lpstr>
    </vt:vector>
  </TitlesOfParts>
  <Company>IDNR/GSB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3</dc:title>
  <dc:creator>Lynette Seigley</dc:creator>
  <cp:lastModifiedBy>lseigl</cp:lastModifiedBy>
  <cp:revision>4</cp:revision>
  <cp:lastPrinted>2013-05-20T23:04:00Z</cp:lastPrinted>
  <dcterms:created xsi:type="dcterms:W3CDTF">2014-06-10T18:25:00Z</dcterms:created>
  <dcterms:modified xsi:type="dcterms:W3CDTF">2014-06-10T19:20:00Z</dcterms:modified>
</cp:coreProperties>
</file>